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D8">
        <w:rPr>
          <w:rFonts w:ascii="Times New Roman" w:hAnsi="Times New Roman" w:cs="Times New Roman"/>
          <w:b/>
          <w:sz w:val="28"/>
          <w:szCs w:val="28"/>
        </w:rPr>
        <w:t>Запрос № 192 Билингвизм в КБР (Северный Кавказ)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D8">
        <w:rPr>
          <w:rFonts w:ascii="Times New Roman" w:hAnsi="Times New Roman" w:cs="Times New Roman"/>
          <w:b/>
          <w:sz w:val="28"/>
          <w:szCs w:val="28"/>
        </w:rPr>
        <w:t>Ответ № 195</w:t>
      </w:r>
      <w:proofErr w:type="gramStart"/>
      <w:r w:rsidRPr="00BB61D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BB61D8">
        <w:rPr>
          <w:rFonts w:ascii="Times New Roman" w:hAnsi="Times New Roman" w:cs="Times New Roman"/>
          <w:b/>
          <w:sz w:val="28"/>
          <w:szCs w:val="28"/>
        </w:rPr>
        <w:t xml:space="preserve">о Вашей теме предлагаем следующие источники: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>1.Актуальные проблемы исследования государственных языков и их преподавания в республиках Сев. Кавказа: материалы науч</w:t>
      </w:r>
      <w:proofErr w:type="gramStart"/>
      <w:r w:rsidRPr="00BB61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61D8">
        <w:rPr>
          <w:rFonts w:ascii="Times New Roman" w:hAnsi="Times New Roman" w:cs="Times New Roman"/>
          <w:sz w:val="28"/>
          <w:szCs w:val="28"/>
        </w:rPr>
        <w:t xml:space="preserve">практич. конф., посвященная памяти педагогов Н. А. Багова и А. Ж. Будаева ( октябрь, 2012).- Нальчик, КБГУ.- 2012.- 237с.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2.Блягоз, З.У. Двуязычие и культура русской речи.- Майкоп, 1977.- 196с.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Валуйцева, И. Парадокс билингвизма //Филологические науки.- 2014.- №3.- С. 3-9.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3.Проблемы функционирования государственных языков в полиэтническом регионе: [на примере КБР].- Нальчик, КБГУ. - 2006. - 191с.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4.Психологические основы обучен6ия языкам: сб. статей.- Душанбе, 1978.- 96с.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5.Родной и русский язык в национальной школе.- М., 1977.- 248с.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6.Таова, А. Некоторые вопросы языковой полемики в современных условиях: </w:t>
      </w:r>
      <w:proofErr w:type="gramStart"/>
      <w:r w:rsidRPr="00BB61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1D8">
        <w:rPr>
          <w:rFonts w:ascii="Times New Roman" w:hAnsi="Times New Roman" w:cs="Times New Roman"/>
          <w:sz w:val="28"/>
          <w:szCs w:val="28"/>
        </w:rPr>
        <w:t xml:space="preserve">в связи с кабардино-русским двуязычием) // Эльбрус. - 2001-2002. - №1.- С.215-221. </w:t>
      </w:r>
    </w:p>
    <w:p w:rsidR="002964F2" w:rsidRPr="00BB61D8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 xml:space="preserve">7.Хараева, Л. Основные вехи развития кабардино-русского двуязычия // ЩIэплъыпIэ </w:t>
      </w:r>
      <w:proofErr w:type="gramStart"/>
      <w:r w:rsidRPr="00BB61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1D8">
        <w:rPr>
          <w:rFonts w:ascii="Times New Roman" w:hAnsi="Times New Roman" w:cs="Times New Roman"/>
          <w:sz w:val="28"/>
          <w:szCs w:val="28"/>
        </w:rPr>
        <w:t xml:space="preserve">Горизонт).- 2001.- №2.- С. 286-292. </w:t>
      </w:r>
    </w:p>
    <w:p w:rsidR="002964F2" w:rsidRDefault="002964F2" w:rsidP="002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D8">
        <w:rPr>
          <w:rFonts w:ascii="Times New Roman" w:hAnsi="Times New Roman" w:cs="Times New Roman"/>
          <w:sz w:val="28"/>
          <w:szCs w:val="28"/>
        </w:rPr>
        <w:t>8.Экба, Н. Взаимовлияние языков и развитие двуязычия в национальной школе.- СПБ, 1993. - 222с.</w:t>
      </w:r>
    </w:p>
    <w:p w:rsidR="008E07CE" w:rsidRPr="002964F2" w:rsidRDefault="008E07CE">
      <w:pPr>
        <w:rPr>
          <w:rFonts w:ascii="Times New Roman" w:hAnsi="Times New Roman" w:cs="Times New Roman"/>
          <w:sz w:val="28"/>
          <w:szCs w:val="28"/>
        </w:rPr>
      </w:pPr>
    </w:p>
    <w:sectPr w:rsidR="008E07CE" w:rsidRPr="0029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964F2"/>
    <w:rsid w:val="002964F2"/>
    <w:rsid w:val="008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2016-12-29T11:52:00Z</dcterms:created>
  <dcterms:modified xsi:type="dcterms:W3CDTF">2016-12-29T11:53:00Z</dcterms:modified>
</cp:coreProperties>
</file>