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FA" w:rsidRPr="000D04F2" w:rsidRDefault="00E54338" w:rsidP="000D04F2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D04F2">
        <w:rPr>
          <w:rFonts w:ascii="Arial" w:hAnsi="Arial" w:cs="Arial"/>
          <w:color w:val="000000"/>
          <w:sz w:val="28"/>
          <w:szCs w:val="28"/>
          <w:shd w:val="clear" w:color="auto" w:fill="FFFFFF"/>
        </w:rPr>
        <w:t>"ПРОБЛЕМЫ ПРАВОВОГО РЕГУЛИРОВАНИЯ ТАМОЖЕННОЙ ПРОЦЕДУРЫ ТАМОЖЕННОГО ТРАНЗИТА И ПУТИ ИХ СОВЕРШЕНСТВОВАНИЯ"</w:t>
      </w:r>
    </w:p>
    <w:p w:rsidR="00E54338" w:rsidRDefault="00E54338">
      <w:pPr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 w:rsidRPr="000D04F2">
        <w:rPr>
          <w:rFonts w:ascii="Arial" w:hAnsi="Arial" w:cs="Arial"/>
          <w:color w:val="000000"/>
          <w:sz w:val="28"/>
          <w:szCs w:val="28"/>
          <w:shd w:val="clear" w:color="auto" w:fill="FFFFFF"/>
        </w:rPr>
        <w:t>Ответ</w:t>
      </w:r>
    </w:p>
    <w:p w:rsidR="00E54338" w:rsidRDefault="00E54338">
      <w:pP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1.Бакаева О.Ю. Проблемы соотношения частных и публичных интересов в условиях формирования правовой базы Таможенного союза // Юридический мир. – 2010. - № 6. - С. 44-47</w:t>
      </w:r>
      <w:proofErr w:type="gram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;</w:t>
      </w:r>
      <w:proofErr w:type="gram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То же [Электронный ресурс]. – URL</w:t>
      </w:r>
      <w:proofErr w:type="gram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http://nsopb.ru/fck_editor_files/files/TS_PUBL18.doc (22.04.2015)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2.Гражданин и таможня: порядок перемещения товаров и транспортных средств через таможенную границу / под ред. А.Н.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Козырина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. - </w:t>
      </w:r>
      <w:proofErr w:type="gram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М.: Библиотечка РГ. – 2013.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3.Кобзарь-Фролова, М.Н., Фролов, В.А. Обеспечение безопасности в сфере таможенного дела // СПС ГАРАНТ. – 2014.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4.Крамаренко А.А. Электронное декларирование товаров в Таможенном союзе на современном этапе // Теоретические и практические вопросы развития научной мысли в современном мире: сб. ст. Международной научно-практической конференции 29-30 апреля 2013 г.: В 4 ч. Ч. 1.</w:t>
      </w:r>
      <w:proofErr w:type="gram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– Уфа: РИЦ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БашГУ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, 2013 г. - С. 118-120</w:t>
      </w:r>
      <w:proofErr w:type="gram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;</w:t>
      </w:r>
      <w:proofErr w:type="gram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То же [Электронный ресурс]. – URL</w:t>
      </w:r>
      <w:proofErr w:type="gram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http://sci-article.ru/stat.phpi=problemy_pravovogo_regulirovaniya__tamozhennyh_procedur_i_puti_ih_resheniya (22.04.2015)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5.Правовые вопросы Евразийского таможенного союза / В.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Бергманн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, Яковлева Т. - М.: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Инфотропик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Медиа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, 2012. – 368 с. ; То же [Электронный ресурс]. – URL</w:t>
      </w:r>
      <w:proofErr w:type="gram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http://www.hse.ru/data/2012/04/16/1250396221/козырин.pdf (22.04.2015)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6.Решение Комиссии Таможенного союза от 17 августа 2010 г. N 438 «О Порядке совершения таможенными органами таможенных операций, связанных с подачей, регистрацией транзитной декларации и завершением таможенной процедуры таможенного транзита» // Сайт: ЕЭК. - URL</w:t>
      </w:r>
      <w:proofErr w:type="gram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http://www.eurasiancommission.org/ru/Pages/default.aspx (22.04.2015)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7.Сидоров В. Н. Таможенное право: учебник для бакалавров. — 4-е изд.,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перераб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. и доп. – М.: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Юрайт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, 2013. – 439 с. ; [Электронный ресурс]. – URL</w:t>
      </w:r>
      <w:proofErr w:type="gram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http://static.my-shop.ru/product/pdf/129/1285666.pdf (22.04.2015)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8.Суркичин Г.Ф. Теоретические аспекты правового регулирования таможенных процедур в Российской Федерации // Право: журн.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высш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шк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. экономики. – 2011. - № 3. - С. 75-86</w:t>
      </w:r>
      <w:proofErr w:type="gram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;</w:t>
      </w:r>
      <w:proofErr w:type="gram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То же [Электронный ресурс]. – URL</w:t>
      </w:r>
      <w:proofErr w:type="gram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http://law-journal.hse.ru/2011--3/44956874.html (22.04.2015)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10.Таможенные процедуры в Таможенном союзе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ЕврАзЭС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: учебно-практическое пособие / под ред. А.Н.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Козырина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. - Изд-во ЦППИ, 2011.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11.Чермянинов, Д.В. Правовой режим перемещения товаров через таможенную границу // Юрист. – 2012. – № 7. – С. 30-34.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</w:p>
    <w:p w:rsidR="000D04F2" w:rsidRDefault="000D04F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2</w:t>
      </w:r>
      <w:r w:rsidRPr="000D04F2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r w:rsidRPr="000D04F2">
        <w:rPr>
          <w:rFonts w:ascii="Arial" w:hAnsi="Arial" w:cs="Arial"/>
          <w:color w:val="000000"/>
          <w:sz w:val="28"/>
          <w:szCs w:val="28"/>
          <w:shd w:val="clear" w:color="auto" w:fill="FFFFFF"/>
        </w:rPr>
        <w:t>"Представительство в гражданском процессе"</w:t>
      </w:r>
    </w:p>
    <w:p w:rsidR="000D04F2" w:rsidRDefault="000D04F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Ответ</w:t>
      </w:r>
    </w:p>
    <w:p w:rsidR="000D04F2" w:rsidRDefault="000D04F2">
      <w:pP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1) Баранов, В. Актуальные проблемы участия представителя в гражданском процессе // Арбитражный и гражданский процесс. - 2006. - №2. - С. 32-37.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2) Войтович, Л. Права и обязанности представителя в гражданском судопроизводстве // Арбитражный и гражданский процесс. - 2006. - №5. - С. 11-16.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3) Данилов, Е.П. Справочник адвоката по гражданским делам. - М., 2008.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4)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Зрелов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, А.П. Доверенность по новым правилам "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Экоонис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" // СПС Гарант. - 2014.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5) Коваленко, А.Г. Гражданский процесс. - М., 2008. - 448 с.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6)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Налетова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, В.Н. Законные формы представительства в российском праве // Гражданин и право. - 2013. - №6. - С. 27-35.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7)Орешин, Е.И, Правовая природа полномочия представителя // Журнал рос</w:t>
      </w:r>
      <w:proofErr w:type="gram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рава. - 2007. - №2. - С. 113-122.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8)Панченко, В.Ю. Профессиональное юридическое представительство в гражданском и арбитражном процессе //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Совр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. право. - 2013. - №4. - С. 102-105.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9)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Суровова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, К.Ю. Понятия и виды профессионального представительства адвокатов // Адвокат. - 2015. - №3. - </w:t>
      </w:r>
      <w:proofErr w:type="gram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С. 16-23.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10) Томилов, А.Ю. Защита чужих прав и интересов общественными организациями в гражданском процессе // Российская юстиция. - 2009. - №8.</w:t>
      </w:r>
      <w:proofErr w:type="gram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- С. 48-52.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11)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Харсеева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, В.Л. Правовое регулирование представительства в свете концептуальных изменений гражданского законодательства // Адвокат. - 2014. - №9</w:t>
      </w:r>
      <w:proofErr w:type="gram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;</w:t>
      </w:r>
      <w:proofErr w:type="gram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То же [Электронный ресурс]. - URL</w:t>
      </w:r>
      <w:proofErr w:type="gram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http://www.lawecon.ru/advokat/articles/34/1117/; То же СПС Гарант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</w:p>
    <w:p w:rsidR="000D04F2" w:rsidRDefault="000D04F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D04F2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3.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Pr="000D04F2">
        <w:rPr>
          <w:rFonts w:ascii="Arial" w:hAnsi="Arial" w:cs="Arial"/>
          <w:color w:val="000000"/>
          <w:sz w:val="28"/>
          <w:szCs w:val="28"/>
          <w:shd w:val="clear" w:color="auto" w:fill="FFFFFF"/>
        </w:rPr>
        <w:t>"Прокурор как субъект гражданского процесса"</w:t>
      </w:r>
    </w:p>
    <w:p w:rsidR="000D04F2" w:rsidRDefault="000D04F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Ответ</w:t>
      </w:r>
    </w:p>
    <w:p w:rsidR="000D04F2" w:rsidRPr="000D04F2" w:rsidRDefault="000D04F2">
      <w:pPr>
        <w:rPr>
          <w:sz w:val="28"/>
          <w:szCs w:val="28"/>
        </w:rPr>
      </w:pP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1.Андрианов Н. Прокурор в гражданском процессе: благая цель и негодные средства [Электронный ресурс] // "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эж-ЮРИСТ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". - 2011. - № 26. // ЭПС «ГАРАНТ»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Залюкова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Г. Участие прокурора в пересмотре судебных актов в гражданском процессе [Электронный ресурс] // Законность. - 2012. - № 6. // ЭПС «ГАРАНТ»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Квитко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Н., Защита прокурором прав граждан в гражданском процессе [Электронный ресурс] // Законность. - 2014. - №11. // ЭПС «ГАРАНТ»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4. Комментарий к Гражданскому процессуальному кодексу Российской Федерации (под ред. М.А.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Викут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). [Электронный ресурс]. М.: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Юрайт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, 2013. // ЭПС «ГАРАНТ»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5. Лукьянова И.Н. Участие прокурора в гражданском деле и правовая определенность в современном российском гражданском процессе [Электронный ресурс] // Законы России: опыт, анализ, практика.- 2012.- № 9. // ЭПС «ГАРАНТ»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6. Мохов А.А. Комментарий к Гражданскому процессуальному кодексу Российской Федерации (постатейный). [Электронный ресурс]. М.: Юридическая фирма "Контракт", 2011. // ЭПС «ГАРАНТ»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7. Настольная книга прокурора (под общ. ред. С.Г.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Кехлерова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, О.С.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Капинус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науч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. ред. А.Ю. Винокуров) (2-е изд.,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перераб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. и доп.) [Электронный ресурс]</w:t>
      </w:r>
      <w:proofErr w:type="gram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М.: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Юрайт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, 2013. // ЭПС «ГАРАНТ»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8. Приказ Генеральной Прокуратуры России от 26 апреля 2012 г. №181 "Об обеспечении участия прокуроров в гражданском процессе" // Законность. – 2012. - № 6. – С. 68 – 73.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9. Рыжаков А.П. Комментарий к Гражданскому процессуальному кодексу Российской Федерации. [Электронный ресурс] - Специально для системы ГАРАНТ 2011. // ЭПС «ГАРАНТ»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</w:p>
    <w:sectPr w:rsidR="000D04F2" w:rsidRPr="000D04F2" w:rsidSect="00A03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21C5B"/>
    <w:multiLevelType w:val="hybridMultilevel"/>
    <w:tmpl w:val="655C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54338"/>
    <w:rsid w:val="000D04F2"/>
    <w:rsid w:val="00A037FA"/>
    <w:rsid w:val="00E5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4338"/>
  </w:style>
  <w:style w:type="paragraph" w:styleId="a3">
    <w:name w:val="List Paragraph"/>
    <w:basedOn w:val="a"/>
    <w:uiPriority w:val="34"/>
    <w:qFormat/>
    <w:rsid w:val="000D0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808</Words>
  <Characters>4611</Characters>
  <Application>Microsoft Office Word</Application>
  <DocSecurity>0</DocSecurity>
  <Lines>38</Lines>
  <Paragraphs>10</Paragraphs>
  <ScaleCrop>false</ScaleCrop>
  <Company>Microsoft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2015-10-27T11:39:00Z</dcterms:created>
  <dcterms:modified xsi:type="dcterms:W3CDTF">2015-10-27T11:46:00Z</dcterms:modified>
</cp:coreProperties>
</file>